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2A" w:rsidRDefault="0038092A" w:rsidP="003809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br/>
        <w:t>деятельности МБУ ДО «Центр развития творчества детей и молодёжи»</w:t>
      </w:r>
    </w:p>
    <w:p w:rsidR="0038092A" w:rsidRDefault="0038092A" w:rsidP="003809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Железнодорожного района г. Барнаула по состоянию на 01 апреля 2016 г.</w:t>
      </w:r>
    </w:p>
    <w:p w:rsidR="0038092A" w:rsidRDefault="0038092A" w:rsidP="003809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8657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740"/>
        <w:gridCol w:w="6500"/>
        <w:gridCol w:w="1417"/>
      </w:tblGrid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sub_5001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sub_5011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sub_511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sub_5112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sub_5113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sub_5114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sub_5012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sub_5013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sub_5014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sub_5015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sub_5016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10/0,8%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sub_5161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5/0,4%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sub_5162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3/0,2%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sub_5163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1/0,08%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sub_5164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1/0,08%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sub_5017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sub_5018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975/79%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sub_5181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646/52%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sub_5182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284/23%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sub_5183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108/9%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sub_5184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137/11%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sub_5185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117/9%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sub_5019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609/49%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sub_5191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204/16,5%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sub_5192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222/18%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sub_5193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69/6%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sub_5194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20/1,6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sub_5195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tabs>
                <w:tab w:val="left" w:pos="140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94/8%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sub_5110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221/18%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sub_51101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201/16%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sub_51102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88/7%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sub_51103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8/0,6%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sub_51104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4/0,3%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sub_51105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12/1%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sub_51011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sub_51111"/>
            <w:bookmarkEnd w:id="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sub_51112"/>
            <w:bookmarkEnd w:id="3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sub_51113"/>
            <w:bookmarkEnd w:id="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sub_51114"/>
            <w:bookmarkEnd w:id="3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sub_51115"/>
            <w:bookmarkEnd w:id="3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sub_51012"/>
            <w:bookmarkEnd w:id="4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sub_51013"/>
            <w:bookmarkEnd w:id="4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30/91%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sub_51014"/>
            <w:bookmarkEnd w:id="4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11/33%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sub_5115"/>
            <w:bookmarkEnd w:id="4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3/9%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sub_5116"/>
            <w:bookmarkEnd w:id="4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sub_5117"/>
            <w:bookmarkEnd w:id="4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28/85%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sub_51171"/>
            <w:bookmarkEnd w:id="4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25/76%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sub_51172"/>
            <w:bookmarkEnd w:id="4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3/10%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sub_5118"/>
            <w:bookmarkEnd w:id="4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sub_51181"/>
            <w:bookmarkEnd w:id="4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3/9%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sub_51182"/>
            <w:bookmarkEnd w:id="5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2/6%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sub_5119"/>
            <w:bookmarkEnd w:id="5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3/9%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sub_5120"/>
            <w:bookmarkEnd w:id="5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6/18%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sub_5121"/>
            <w:bookmarkEnd w:id="5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33/100%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sub_5122"/>
            <w:bookmarkEnd w:id="5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4/8%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sub_5123"/>
            <w:bookmarkEnd w:id="5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sub_51231"/>
            <w:bookmarkEnd w:id="5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sub_51232"/>
            <w:bookmarkEnd w:id="5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sub_5124"/>
            <w:bookmarkEnd w:id="5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59" w:name="sub_5002"/>
            <w:bookmarkEnd w:id="59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sub_5021"/>
            <w:bookmarkEnd w:id="6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sub_5022"/>
            <w:bookmarkEnd w:id="6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sub_5221"/>
            <w:bookmarkEnd w:id="6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sub_5222"/>
            <w:bookmarkEnd w:id="6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sub_5223"/>
            <w:bookmarkEnd w:id="6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sub_5224"/>
            <w:bookmarkEnd w:id="6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sub_5225"/>
            <w:bookmarkEnd w:id="6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sub_5226"/>
            <w:bookmarkEnd w:id="6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sub_5023"/>
            <w:bookmarkEnd w:id="6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sub_5231"/>
            <w:bookmarkEnd w:id="6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sub_5232"/>
            <w:bookmarkEnd w:id="7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sub_5233"/>
            <w:bookmarkEnd w:id="7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sub_5024"/>
            <w:bookmarkEnd w:id="7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sub_5025"/>
            <w:bookmarkEnd w:id="7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sub_5026"/>
            <w:bookmarkEnd w:id="7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sub_5261"/>
            <w:bookmarkEnd w:id="7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sub_5262"/>
            <w:bookmarkEnd w:id="7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sub_5263"/>
            <w:bookmarkEnd w:id="7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sub_5264"/>
            <w:bookmarkEnd w:id="7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sub_5265"/>
            <w:bookmarkEnd w:id="7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sub_5027"/>
            <w:bookmarkEnd w:id="8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38092A" w:rsidRDefault="0038092A" w:rsidP="0038092A">
      <w:pPr>
        <w:rPr>
          <w:rFonts w:ascii="Times New Roman" w:hAnsi="Times New Roman" w:cs="Times New Roman"/>
        </w:rPr>
      </w:pPr>
    </w:p>
    <w:p w:rsidR="0075129F" w:rsidRDefault="0075129F">
      <w:bookmarkStart w:id="81" w:name="_GoBack"/>
      <w:bookmarkEnd w:id="81"/>
    </w:p>
    <w:sectPr w:rsidR="0075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3"/>
    <w:rsid w:val="0038092A"/>
    <w:rsid w:val="0075129F"/>
    <w:rsid w:val="009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FD2EF-CE6F-4516-9C4B-3BDAFBC4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2016-12-01T08:12:00Z</dcterms:created>
  <dcterms:modified xsi:type="dcterms:W3CDTF">2016-12-01T08:12:00Z</dcterms:modified>
</cp:coreProperties>
</file>